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0C3C4">
      <w:pPr>
        <w:spacing w:line="720" w:lineRule="exact"/>
        <w:jc w:val="center"/>
        <w:rPr>
          <w:rFonts w:hint="eastAsia"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</w:rPr>
        <w:t>南京医科大学第一附属医院/第一临床医学院—</w:t>
      </w:r>
    </w:p>
    <w:p w14:paraId="5336A71C">
      <w:pPr>
        <w:spacing w:line="720" w:lineRule="exact"/>
        <w:jc w:val="center"/>
        <w:rPr>
          <w:rFonts w:hint="eastAsia" w:ascii="方正小标宋简体" w:hAnsi="华文中宋" w:eastAsia="方正小标宋简体"/>
          <w:b/>
          <w:sz w:val="32"/>
          <w:szCs w:val="32"/>
        </w:rPr>
      </w:pPr>
      <w:bookmarkStart w:id="0" w:name="_GoBack"/>
      <w:bookmarkEnd w:id="0"/>
    </w:p>
    <w:p w14:paraId="61C35971">
      <w:pPr>
        <w:spacing w:line="720" w:lineRule="exact"/>
        <w:jc w:val="center"/>
        <w:rPr>
          <w:rFonts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  <w:lang w:val="en-US" w:eastAsia="zh-CN"/>
        </w:rPr>
        <w:t>专硕</w:t>
      </w:r>
      <w:r>
        <w:rPr>
          <w:rFonts w:hint="eastAsia" w:ascii="方正小标宋简体" w:hAnsi="华文中宋" w:eastAsia="方正小标宋简体"/>
          <w:b/>
          <w:sz w:val="32"/>
          <w:szCs w:val="32"/>
        </w:rPr>
        <w:t>研究生</w:t>
      </w:r>
      <w:r>
        <w:rPr>
          <w:rFonts w:hint="eastAsia" w:ascii="方正小标宋简体" w:hAnsi="华文中宋" w:eastAsia="方正小标宋简体"/>
          <w:b/>
          <w:sz w:val="32"/>
          <w:szCs w:val="32"/>
          <w:lang w:val="en-US" w:eastAsia="zh-CN"/>
        </w:rPr>
        <w:t>住培轮转</w:t>
      </w:r>
      <w:r>
        <w:rPr>
          <w:rFonts w:hint="eastAsia" w:ascii="方正小标宋简体" w:hAnsi="华文中宋" w:eastAsia="方正小标宋简体"/>
          <w:b/>
          <w:sz w:val="32"/>
          <w:szCs w:val="32"/>
        </w:rPr>
        <w:t>培养合作协议</w:t>
      </w:r>
    </w:p>
    <w:p w14:paraId="40A33814">
      <w:pPr>
        <w:adjustRightInd w:val="0"/>
        <w:snapToGrid w:val="0"/>
        <w:spacing w:line="360" w:lineRule="auto"/>
        <w:rPr>
          <w:rFonts w:ascii="仿宋_GB2312" w:eastAsia="仿宋_GB2312"/>
        </w:rPr>
      </w:pPr>
    </w:p>
    <w:p w14:paraId="7E0674E7"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南京医科大学</w:t>
      </w:r>
      <w:r>
        <w:rPr>
          <w:rFonts w:hint="eastAsia" w:ascii="仿宋" w:hAnsi="仿宋" w:eastAsia="仿宋"/>
          <w:sz w:val="32"/>
          <w:szCs w:val="32"/>
        </w:rPr>
        <w:t>第一附属医院/</w:t>
      </w:r>
      <w:r>
        <w:rPr>
          <w:rFonts w:hint="eastAsia" w:ascii="仿宋_GB2312" w:eastAsia="仿宋_GB2312"/>
          <w:sz w:val="32"/>
          <w:szCs w:val="32"/>
        </w:rPr>
        <w:t>第一临床医学院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以下简称甲方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  <w:u w:val="single"/>
        </w:rPr>
        <w:t>（单位名称）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（以下简称乙方）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专硕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研究生培养工作</w:t>
      </w:r>
      <w:r>
        <w:rPr>
          <w:rFonts w:hint="eastAsia" w:ascii="仿宋_GB2312" w:eastAsia="仿宋_GB2312"/>
          <w:sz w:val="32"/>
          <w:szCs w:val="32"/>
        </w:rPr>
        <w:t>需要，经双方友好协商，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甲方</w:t>
      </w:r>
      <w:r>
        <w:rPr>
          <w:rFonts w:hint="eastAsia" w:ascii="仿宋_GB2312" w:eastAsia="仿宋_GB2312"/>
          <w:sz w:val="32"/>
          <w:szCs w:val="32"/>
        </w:rPr>
        <w:t>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接受乙方专硕研究生来甲方单位住培轮转培养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DF4EF43">
      <w:pPr>
        <w:pStyle w:val="2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第一章  协议双方</w:t>
      </w:r>
    </w:p>
    <w:p w14:paraId="2491A757">
      <w:pPr>
        <w:numPr>
          <w:ilvl w:val="0"/>
          <w:numId w:val="1"/>
        </w:numPr>
        <w:tabs>
          <w:tab w:val="left" w:pos="0"/>
          <w:tab w:val="clear" w:pos="1392"/>
        </w:tabs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本协议的双方为</w:t>
      </w:r>
    </w:p>
    <w:p w14:paraId="142E2138">
      <w:pPr>
        <w:adjustRightInd w:val="0"/>
        <w:snapToGrid w:val="0"/>
        <w:spacing w:line="360" w:lineRule="auto"/>
        <w:ind w:left="42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甲方：南京医科大学</w:t>
      </w:r>
      <w:r>
        <w:rPr>
          <w:rFonts w:hint="eastAsia" w:ascii="仿宋" w:hAnsi="仿宋" w:eastAsia="仿宋"/>
          <w:sz w:val="32"/>
          <w:szCs w:val="32"/>
        </w:rPr>
        <w:t>第一附属医院/</w:t>
      </w:r>
      <w:r>
        <w:rPr>
          <w:rFonts w:hint="eastAsia" w:ascii="仿宋_GB2312" w:eastAsia="仿宋_GB2312"/>
          <w:sz w:val="32"/>
          <w:szCs w:val="32"/>
        </w:rPr>
        <w:t>第一临床医学院</w:t>
      </w:r>
    </w:p>
    <w:p w14:paraId="24AF7FE6">
      <w:pPr>
        <w:adjustRightInd w:val="0"/>
        <w:snapToGrid w:val="0"/>
        <w:spacing w:line="360" w:lineRule="auto"/>
        <w:ind w:left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单位名称）    </w:t>
      </w:r>
    </w:p>
    <w:p w14:paraId="1C5FF17B">
      <w:pPr>
        <w:pStyle w:val="2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章  组织机构及管理</w:t>
      </w:r>
    </w:p>
    <w:p w14:paraId="2AE0CC5A">
      <w:pPr>
        <w:numPr>
          <w:ilvl w:val="0"/>
          <w:numId w:val="1"/>
        </w:numPr>
        <w:tabs>
          <w:tab w:val="left" w:pos="0"/>
          <w:tab w:val="clear" w:pos="1392"/>
        </w:tabs>
        <w:adjustRightInd w:val="0"/>
        <w:snapToGrid w:val="0"/>
        <w:spacing w:line="360" w:lineRule="auto"/>
        <w:ind w:left="0"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甲方负责接受乙方专硕研究生轮转住培安排。</w:t>
      </w:r>
    </w:p>
    <w:p w14:paraId="420FA7CE">
      <w:pPr>
        <w:numPr>
          <w:ilvl w:val="0"/>
          <w:numId w:val="1"/>
        </w:numPr>
        <w:tabs>
          <w:tab w:val="left" w:pos="0"/>
          <w:tab w:val="clear" w:pos="1392"/>
        </w:tabs>
        <w:adjustRightInd w:val="0"/>
        <w:snapToGrid w:val="0"/>
        <w:spacing w:line="360" w:lineRule="auto"/>
        <w:ind w:left="0"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指派</w:t>
      </w:r>
      <w:r>
        <w:rPr>
          <w:rFonts w:hint="eastAsia" w:ascii="仿宋_GB2312" w:eastAsia="仿宋_GB2312"/>
          <w:color w:val="000000"/>
          <w:sz w:val="32"/>
          <w:szCs w:val="32"/>
        </w:rPr>
        <w:t>专人负责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专硕</w:t>
      </w:r>
      <w:r>
        <w:rPr>
          <w:rFonts w:hint="eastAsia" w:ascii="仿宋_GB2312" w:eastAsia="仿宋_GB2312"/>
          <w:color w:val="000000"/>
          <w:sz w:val="32"/>
          <w:szCs w:val="32"/>
        </w:rPr>
        <w:t>研究生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住培轮转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驻点在南京医科大学</w:t>
      </w:r>
      <w:r>
        <w:rPr>
          <w:rFonts w:hint="eastAsia" w:ascii="仿宋" w:hAnsi="仿宋" w:eastAsia="仿宋"/>
          <w:sz w:val="32"/>
          <w:szCs w:val="32"/>
        </w:rPr>
        <w:t>第一附属医院/</w:t>
      </w:r>
      <w:r>
        <w:rPr>
          <w:rFonts w:hint="eastAsia" w:ascii="仿宋_GB2312" w:eastAsia="仿宋_GB2312"/>
          <w:sz w:val="32"/>
          <w:szCs w:val="32"/>
        </w:rPr>
        <w:t>第一临床医学院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（南京市广州路300号）工作，纳入甲方统筹工作安排。具体负责包括但不限于乙方在甲方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住培轮转培养的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研究生的请假考勤、安全责任、疫情防控、执医及住培考试等管理工作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783B7F03">
      <w:pPr>
        <w:numPr>
          <w:ilvl w:val="0"/>
          <w:numId w:val="1"/>
        </w:numPr>
        <w:tabs>
          <w:tab w:val="left" w:pos="0"/>
          <w:tab w:val="clear" w:pos="1392"/>
        </w:tabs>
        <w:adjustRightInd w:val="0"/>
        <w:snapToGrid w:val="0"/>
        <w:spacing w:line="360" w:lineRule="auto"/>
        <w:ind w:left="0" w:firstLine="4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切实履行</w:t>
      </w:r>
      <w:r>
        <w:rPr>
          <w:rFonts w:hint="eastAsia" w:ascii="仿宋_GB2312" w:eastAsia="仿宋_GB2312"/>
          <w:color w:val="000000"/>
          <w:sz w:val="32"/>
          <w:szCs w:val="32"/>
        </w:rPr>
        <w:t>研究生教育教学岗位职责，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按照研究生培养</w:t>
      </w:r>
      <w:r>
        <w:rPr>
          <w:rFonts w:hint="eastAsia" w:ascii="仿宋_GB2312" w:eastAsia="仿宋_GB2312"/>
          <w:color w:val="000000"/>
          <w:sz w:val="32"/>
          <w:szCs w:val="32"/>
        </w:rPr>
        <w:t>方案和培养计划，实行研究生培养全链条过程管理和质量监控。</w:t>
      </w:r>
    </w:p>
    <w:p w14:paraId="70C02742">
      <w:pPr>
        <w:pStyle w:val="2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章  双方的责任</w:t>
      </w:r>
    </w:p>
    <w:p w14:paraId="646B7B87">
      <w:pPr>
        <w:numPr>
          <w:ilvl w:val="0"/>
          <w:numId w:val="1"/>
        </w:numPr>
        <w:tabs>
          <w:tab w:val="left" w:pos="1080"/>
          <w:tab w:val="clear" w:pos="1392"/>
        </w:tabs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甲方的责任</w:t>
      </w:r>
    </w:p>
    <w:p w14:paraId="46394E11">
      <w:pPr>
        <w:numPr>
          <w:ilvl w:val="0"/>
          <w:numId w:val="2"/>
        </w:numPr>
        <w:tabs>
          <w:tab w:val="left" w:pos="665"/>
          <w:tab w:val="clear" w:pos="425"/>
        </w:tabs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甲方根据</w:t>
      </w:r>
      <w:r>
        <w:rPr>
          <w:rFonts w:hint="eastAsia" w:ascii="仿宋_GB2312" w:eastAsia="仿宋_GB2312"/>
          <w:color w:val="000000"/>
          <w:sz w:val="32"/>
          <w:szCs w:val="32"/>
        </w:rPr>
        <w:t>乙方的教学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安排和人才培养计划</w:t>
      </w:r>
      <w:r>
        <w:rPr>
          <w:rFonts w:hint="eastAsia" w:ascii="仿宋_GB2312" w:eastAsia="仿宋_GB2312"/>
          <w:color w:val="000000"/>
          <w:sz w:val="32"/>
          <w:szCs w:val="32"/>
        </w:rPr>
        <w:t>，合理安排乙方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专硕</w:t>
      </w:r>
      <w:r>
        <w:rPr>
          <w:rFonts w:hint="eastAsia" w:ascii="仿宋_GB2312" w:eastAsia="仿宋_GB2312"/>
          <w:color w:val="000000"/>
          <w:sz w:val="32"/>
          <w:szCs w:val="32"/>
        </w:rPr>
        <w:t>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住培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轮转方案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54DF801">
      <w:pPr>
        <w:numPr>
          <w:ilvl w:val="0"/>
          <w:numId w:val="2"/>
        </w:numPr>
        <w:tabs>
          <w:tab w:val="left" w:pos="665"/>
          <w:tab w:val="clear" w:pos="425"/>
        </w:tabs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甲方</w:t>
      </w:r>
      <w:r>
        <w:rPr>
          <w:rFonts w:hint="eastAsia" w:ascii="仿宋_GB2312" w:eastAsia="仿宋_GB2312"/>
          <w:color w:val="000000"/>
          <w:sz w:val="32"/>
          <w:szCs w:val="32"/>
        </w:rPr>
        <w:t>教育并督促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乙方进</w:t>
      </w:r>
      <w:r>
        <w:rPr>
          <w:rFonts w:hint="eastAsia" w:ascii="仿宋_GB2312" w:eastAsia="仿宋_GB2312"/>
          <w:color w:val="000000"/>
          <w:sz w:val="32"/>
          <w:szCs w:val="32"/>
        </w:rPr>
        <w:t>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甲方</w:t>
      </w:r>
      <w:r>
        <w:rPr>
          <w:rFonts w:hint="eastAsia" w:ascii="仿宋_GB2312" w:eastAsia="仿宋_GB2312"/>
          <w:color w:val="000000"/>
          <w:sz w:val="32"/>
          <w:szCs w:val="32"/>
        </w:rPr>
        <w:t>培养基地的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专硕</w:t>
      </w:r>
      <w:r>
        <w:rPr>
          <w:rFonts w:hint="eastAsia" w:ascii="仿宋_GB2312" w:eastAsia="仿宋_GB2312"/>
          <w:color w:val="000000"/>
          <w:sz w:val="32"/>
          <w:szCs w:val="32"/>
        </w:rPr>
        <w:t>研究生遵守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甲方和</w:t>
      </w:r>
      <w:r>
        <w:rPr>
          <w:rFonts w:hint="eastAsia" w:ascii="仿宋_GB2312" w:eastAsia="仿宋_GB2312"/>
          <w:color w:val="000000"/>
          <w:sz w:val="32"/>
          <w:szCs w:val="32"/>
        </w:rPr>
        <w:t>乙方的相关管理制度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612783FD">
      <w:pPr>
        <w:numPr>
          <w:ilvl w:val="0"/>
          <w:numId w:val="1"/>
        </w:numPr>
        <w:tabs>
          <w:tab w:val="left" w:pos="1080"/>
          <w:tab w:val="clear" w:pos="1392"/>
        </w:tabs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乙方的责任</w:t>
      </w:r>
    </w:p>
    <w:p w14:paraId="461DBE95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严格遵守</w:t>
      </w:r>
      <w:r>
        <w:rPr>
          <w:rFonts w:hint="eastAsia" w:ascii="仿宋_GB2312" w:eastAsia="仿宋_GB2312"/>
          <w:color w:val="000000"/>
          <w:sz w:val="32"/>
          <w:szCs w:val="32"/>
        </w:rPr>
        <w:t>研究生教育管理相关规定，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加强</w:t>
      </w:r>
      <w:r>
        <w:rPr>
          <w:rFonts w:hint="eastAsia" w:ascii="仿宋_GB2312" w:eastAsia="仿宋_GB2312"/>
          <w:color w:val="000000"/>
          <w:sz w:val="32"/>
          <w:szCs w:val="32"/>
        </w:rPr>
        <w:t>研究生培养全过程管理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包括但不限于课程学习、开题报告、中期考核、临床实践、论文答辩、</w:t>
      </w:r>
      <w:r>
        <w:rPr>
          <w:rFonts w:ascii="仿宋_GB2312" w:eastAsia="仿宋_GB2312"/>
          <w:sz w:val="32"/>
          <w:szCs w:val="32"/>
        </w:rPr>
        <w:t>毕业审核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等。</w:t>
      </w:r>
    </w:p>
    <w:p w14:paraId="573B64D6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委派的专硕须全程在甲方进行住院医师规范化培训，且在培训期间按照住培要求积极配合各项管理。</w:t>
      </w:r>
    </w:p>
    <w:p w14:paraId="489E14DB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乙方接受甲方基地关于住培考试业务水平测试相关规定，即住培考试业务水平测试成绩排名全国成绩百分位后5%（含5%及缺考者），确定为测试成绩不合格，同时也确定为住培年度考核/过程考核不合格，进而不符合住培结业考核的报考资格要求，不能参加住培结业考核。</w:t>
      </w:r>
    </w:p>
    <w:p w14:paraId="569658E0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乙方做好学生</w:t>
      </w:r>
      <w:r>
        <w:rPr>
          <w:rFonts w:hint="eastAsia" w:ascii="仿宋_GB2312" w:eastAsia="仿宋_GB2312"/>
          <w:sz w:val="32"/>
          <w:szCs w:val="32"/>
        </w:rPr>
        <w:t>思想政治教育、心理健康教育</w:t>
      </w:r>
      <w:r>
        <w:rPr>
          <w:rFonts w:hint="eastAsia" w:ascii="仿宋_GB2312" w:eastAsia="仿宋_GB2312"/>
          <w:color w:val="000000"/>
          <w:sz w:val="32"/>
          <w:szCs w:val="32"/>
        </w:rPr>
        <w:t>、日常管理、</w:t>
      </w:r>
      <w:r>
        <w:rPr>
          <w:rFonts w:hint="eastAsia" w:ascii="仿宋_GB2312" w:eastAsia="仿宋_GB2312"/>
          <w:sz w:val="32"/>
          <w:szCs w:val="32"/>
        </w:rPr>
        <w:t>学风建设、就业指导等工作</w:t>
      </w:r>
      <w:r>
        <w:rPr>
          <w:rFonts w:hint="eastAsia" w:ascii="仿宋_GB2312" w:eastAsia="仿宋_GB2312"/>
          <w:color w:val="000000"/>
          <w:sz w:val="32"/>
          <w:szCs w:val="32"/>
        </w:rPr>
        <w:t>；负责</w:t>
      </w:r>
      <w:r>
        <w:rPr>
          <w:rFonts w:ascii="仿宋_GB2312" w:eastAsia="仿宋_GB2312"/>
          <w:color w:val="000000"/>
          <w:sz w:val="32"/>
          <w:szCs w:val="32"/>
        </w:rPr>
        <w:t>乙方研究生</w:t>
      </w:r>
      <w:r>
        <w:rPr>
          <w:rFonts w:hint="eastAsia" w:ascii="仿宋_GB2312" w:eastAsia="仿宋_GB2312"/>
          <w:color w:val="000000"/>
          <w:sz w:val="32"/>
          <w:szCs w:val="32"/>
        </w:rPr>
        <w:t>党的组织建设，党员的教育、管理、发展，奖助学金的评比发放等工作。</w:t>
      </w:r>
    </w:p>
    <w:p w14:paraId="59F7E0C5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乙方为研究生</w:t>
      </w:r>
      <w:r>
        <w:rPr>
          <w:rFonts w:hint="eastAsia" w:ascii="仿宋_GB2312" w:eastAsia="仿宋_GB2312"/>
          <w:color w:val="000000"/>
          <w:sz w:val="32"/>
          <w:szCs w:val="32"/>
        </w:rPr>
        <w:t>提供必要的学习、生活、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住宿、</w:t>
      </w:r>
      <w:r>
        <w:rPr>
          <w:rFonts w:hint="eastAsia" w:ascii="仿宋_GB2312" w:eastAsia="仿宋_GB2312"/>
          <w:color w:val="000000"/>
          <w:sz w:val="32"/>
          <w:szCs w:val="32"/>
        </w:rPr>
        <w:t>工作条件和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助研</w:t>
      </w:r>
      <w:r>
        <w:rPr>
          <w:rFonts w:hint="eastAsia" w:ascii="仿宋_GB2312" w:eastAsia="仿宋_GB2312"/>
          <w:color w:val="000000"/>
          <w:sz w:val="32"/>
          <w:szCs w:val="32"/>
        </w:rPr>
        <w:t>津贴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为研究生</w:t>
      </w:r>
      <w:r>
        <w:rPr>
          <w:rFonts w:hint="eastAsia" w:ascii="仿宋_GB2312" w:eastAsia="仿宋_GB2312"/>
          <w:color w:val="000000"/>
          <w:sz w:val="32"/>
          <w:szCs w:val="32"/>
        </w:rPr>
        <w:t>购买学习期间意外伤害保险，并承担该意外保险不足以支付的其余工伤产生的相关费用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544051B">
      <w:pPr>
        <w:pStyle w:val="4"/>
        <w:numPr>
          <w:ilvl w:val="0"/>
          <w:numId w:val="3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乙方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color w:val="000000"/>
          <w:sz w:val="32"/>
          <w:szCs w:val="32"/>
        </w:rPr>
        <w:t>加强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研究生医疗</w:t>
      </w:r>
      <w:r>
        <w:rPr>
          <w:rFonts w:ascii="仿宋_GB2312" w:eastAsia="仿宋_GB2312"/>
          <w:color w:val="000000"/>
          <w:sz w:val="32"/>
          <w:szCs w:val="32"/>
        </w:rPr>
        <w:t>安全教育和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必要的临床技能</w:t>
      </w:r>
      <w:r>
        <w:rPr>
          <w:rFonts w:ascii="仿宋_GB2312" w:eastAsia="仿宋_GB2312"/>
          <w:color w:val="000000"/>
          <w:sz w:val="32"/>
          <w:szCs w:val="32"/>
        </w:rPr>
        <w:t>培训，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以便研究生能在带教老师的指导下，顺利开展临床诊疗</w:t>
      </w:r>
      <w:r>
        <w:rPr>
          <w:rFonts w:hint="eastAsia" w:ascii="仿宋_GB2312" w:eastAsia="仿宋_GB2312"/>
          <w:color w:val="000000"/>
          <w:sz w:val="32"/>
          <w:szCs w:val="32"/>
        </w:rPr>
        <w:t>活动。</w:t>
      </w:r>
    </w:p>
    <w:p w14:paraId="66ABBA78">
      <w:pPr>
        <w:pStyle w:val="2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章  协议的期限变更和解除</w:t>
      </w:r>
    </w:p>
    <w:p w14:paraId="676515D6">
      <w:pPr>
        <w:numPr>
          <w:ilvl w:val="0"/>
          <w:numId w:val="1"/>
        </w:numPr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经双方商定，本协议有效期为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年。期限届满三个月前，双方视合作情况进行协商，如一致同意继续合作则本协议继续有效，延续期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年。在协议延续期内如有任意一方提出终止合作，经双方协商一致同意后本协议终止。</w:t>
      </w:r>
    </w:p>
    <w:p w14:paraId="186CD41B">
      <w:pPr>
        <w:pStyle w:val="4"/>
        <w:numPr>
          <w:ilvl w:val="0"/>
          <w:numId w:val="1"/>
        </w:numPr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凡发生下列情况之一者，经双方协商同意后可变更或解除协议：</w:t>
      </w:r>
    </w:p>
    <w:p w14:paraId="14CCC8C2">
      <w:pPr>
        <w:pStyle w:val="4"/>
        <w:numPr>
          <w:ilvl w:val="0"/>
          <w:numId w:val="4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在双方均没有违约的情况下，发生不可抗拒因素，致使本协议内容无法实施的； </w:t>
      </w:r>
    </w:p>
    <w:p w14:paraId="6CB29BFB">
      <w:pPr>
        <w:pStyle w:val="4"/>
        <w:numPr>
          <w:ilvl w:val="0"/>
          <w:numId w:val="4"/>
        </w:numPr>
        <w:adjustRightInd w:val="0"/>
        <w:snapToGrid w:val="0"/>
        <w:spacing w:line="360" w:lineRule="auto"/>
        <w:ind w:left="420" w:leftChars="20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未切实履行或</w:t>
      </w:r>
      <w:r>
        <w:rPr>
          <w:rFonts w:hint="eastAsia" w:ascii="仿宋_GB2312" w:eastAsia="仿宋_GB2312"/>
          <w:sz w:val="32"/>
          <w:szCs w:val="32"/>
        </w:rPr>
        <w:t>违反协议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的相关规定</w:t>
      </w:r>
      <w:r>
        <w:rPr>
          <w:rFonts w:hint="eastAsia" w:ascii="仿宋_GB2312" w:eastAsia="仿宋_GB2312"/>
          <w:sz w:val="32"/>
          <w:szCs w:val="32"/>
        </w:rPr>
        <w:t>，守约方有权通知违约方解除协议，违约方应当向守约方承担给其造成的损失。</w:t>
      </w:r>
    </w:p>
    <w:p w14:paraId="7876DB10">
      <w:pPr>
        <w:numPr>
          <w:ilvl w:val="0"/>
          <w:numId w:val="1"/>
        </w:numPr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双方就协议的解释、履行等发生争议时，应本着友好合作、平等互谅的原则协商解决。</w:t>
      </w:r>
    </w:p>
    <w:p w14:paraId="5B1BDC7A">
      <w:pPr>
        <w:pStyle w:val="2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章  附则</w:t>
      </w:r>
    </w:p>
    <w:p w14:paraId="78B9C93D">
      <w:pPr>
        <w:numPr>
          <w:ilvl w:val="0"/>
          <w:numId w:val="1"/>
        </w:numPr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本协议自甲乙双方签章之日起生效执行。本协议生效后，双方应当全面、严格执行。</w:t>
      </w:r>
    </w:p>
    <w:p w14:paraId="0F8F7EEA">
      <w:pPr>
        <w:numPr>
          <w:ilvl w:val="0"/>
          <w:numId w:val="1"/>
        </w:numPr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本协议的未尽事宜由双方另行商定并签署补充协议，补充协议系本协议有效组成部分。</w:t>
      </w:r>
    </w:p>
    <w:p w14:paraId="71850A4A">
      <w:pPr>
        <w:numPr>
          <w:ilvl w:val="0"/>
          <w:numId w:val="1"/>
        </w:numPr>
        <w:adjustRightInd w:val="0"/>
        <w:snapToGrid w:val="0"/>
        <w:spacing w:line="360" w:lineRule="auto"/>
        <w:ind w:left="0" w:firstLine="42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本协议一式四份，双方各持一份，报送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南京医科大学研究生院</w:t>
      </w:r>
      <w:r>
        <w:rPr>
          <w:rFonts w:hint="eastAsia" w:ascii="仿宋_GB2312" w:eastAsia="仿宋_GB2312"/>
          <w:sz w:val="32"/>
          <w:szCs w:val="32"/>
        </w:rPr>
        <w:t>和乙方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主管</w:t>
      </w:r>
      <w:r>
        <w:rPr>
          <w:rFonts w:hint="eastAsia" w:ascii="仿宋_GB2312" w:eastAsia="仿宋_GB2312"/>
          <w:sz w:val="32"/>
          <w:szCs w:val="32"/>
        </w:rPr>
        <w:t>部门一份，具有同等法律效力。</w:t>
      </w:r>
    </w:p>
    <w:p w14:paraId="5C45FE93">
      <w:pPr>
        <w:adjustRightInd w:val="0"/>
        <w:snapToGrid w:val="0"/>
        <w:spacing w:line="360" w:lineRule="auto"/>
        <w:ind w:left="420"/>
        <w:rPr>
          <w:rFonts w:ascii="仿宋_GB2312" w:eastAsia="仿宋_GB2312"/>
          <w:sz w:val="32"/>
          <w:szCs w:val="32"/>
        </w:rPr>
      </w:pPr>
    </w:p>
    <w:p w14:paraId="0AA09A52">
      <w:pPr>
        <w:adjustRightInd w:val="0"/>
        <w:snapToGrid w:val="0"/>
        <w:spacing w:line="360" w:lineRule="auto"/>
        <w:ind w:left="420"/>
        <w:rPr>
          <w:rFonts w:ascii="仿宋_GB2312" w:eastAsia="仿宋_GB2312"/>
          <w:sz w:val="32"/>
          <w:szCs w:val="32"/>
        </w:rPr>
      </w:pPr>
    </w:p>
    <w:p w14:paraId="68803718">
      <w:pPr>
        <w:adjustRightInd w:val="0"/>
        <w:snapToGrid w:val="0"/>
        <w:spacing w:line="360" w:lineRule="auto"/>
        <w:ind w:left="420"/>
        <w:rPr>
          <w:rFonts w:ascii="仿宋_GB2312" w:eastAsia="仿宋_GB2312"/>
          <w:sz w:val="32"/>
          <w:szCs w:val="32"/>
        </w:rPr>
      </w:pPr>
    </w:p>
    <w:p w14:paraId="7F79859A">
      <w:pPr>
        <w:pStyle w:val="4"/>
        <w:adjustRightInd w:val="0"/>
        <w:snapToGrid w:val="0"/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甲方：南京医科大学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乙方：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（单位名称） </w:t>
      </w:r>
    </w:p>
    <w:p w14:paraId="7CCEFB26">
      <w:pPr>
        <w:pStyle w:val="4"/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第一附属医院/</w:t>
      </w:r>
      <w:r>
        <w:rPr>
          <w:rFonts w:hint="eastAsia" w:ascii="仿宋_GB2312" w:eastAsia="仿宋_GB2312"/>
          <w:sz w:val="32"/>
          <w:szCs w:val="32"/>
        </w:rPr>
        <w:t xml:space="preserve">第一临床医学院 </w:t>
      </w:r>
    </w:p>
    <w:p w14:paraId="2262BA34">
      <w:pPr>
        <w:pStyle w:val="4"/>
        <w:adjustRightInd w:val="0"/>
        <w:snapToGrid w:val="0"/>
        <w:spacing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 w14:paraId="2CD272AC">
      <w:pPr>
        <w:pStyle w:val="4"/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代表（签字）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代表（签字）</w:t>
      </w:r>
    </w:p>
    <w:p w14:paraId="5C60D7C5">
      <w:pPr>
        <w:pStyle w:val="4"/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签约日期：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年  月  日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签约日期：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90724"/>
    <w:multiLevelType w:val="multilevel"/>
    <w:tmpl w:val="22990724"/>
    <w:lvl w:ilvl="0" w:tentative="0">
      <w:start w:val="1"/>
      <w:numFmt w:val="japaneseCounting"/>
      <w:lvlText w:val="第%1条"/>
      <w:lvlJc w:val="left"/>
      <w:pPr>
        <w:tabs>
          <w:tab w:val="left" w:pos="1392"/>
        </w:tabs>
        <w:ind w:left="1392" w:hanging="972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3F613BD0"/>
    <w:multiLevelType w:val="multilevel"/>
    <w:tmpl w:val="3F613BD0"/>
    <w:lvl w:ilvl="0" w:tentative="0">
      <w:start w:val="1"/>
      <w:numFmt w:val="decimal"/>
      <w:lvlText w:val="%1."/>
      <w:lvlJc w:val="left"/>
      <w:pPr>
        <w:tabs>
          <w:tab w:val="left" w:pos="960"/>
        </w:tabs>
        <w:ind w:left="960" w:hanging="420"/>
      </w:pPr>
      <w:rPr>
        <w:rFonts w:hint="default" w:ascii="仿宋_GB2312" w:hAnsi="仿宋_GB2312" w:eastAsia="仿宋_GB2312" w:cs="仿宋_GB2312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abstractNum w:abstractNumId="2">
    <w:nsid w:val="77CB6DFB"/>
    <w:multiLevelType w:val="multilevel"/>
    <w:tmpl w:val="77CB6DFB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>
    <w:nsid w:val="77D20F9D"/>
    <w:multiLevelType w:val="singleLevel"/>
    <w:tmpl w:val="77D20F9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i w:val="0"/>
        <w:sz w:val="32"/>
        <w:szCs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WIyODM2MmZhMzUwOWFiMGExMTI4YWM4MjM2MmUifQ=="/>
  </w:docVars>
  <w:rsids>
    <w:rsidRoot w:val="5B463982"/>
    <w:rsid w:val="0009028E"/>
    <w:rsid w:val="000D3AEF"/>
    <w:rsid w:val="001A5554"/>
    <w:rsid w:val="00224022"/>
    <w:rsid w:val="002F04C8"/>
    <w:rsid w:val="003331A2"/>
    <w:rsid w:val="003B7F35"/>
    <w:rsid w:val="003E18DF"/>
    <w:rsid w:val="0043163F"/>
    <w:rsid w:val="004608E4"/>
    <w:rsid w:val="004A45A1"/>
    <w:rsid w:val="004C0407"/>
    <w:rsid w:val="004E2FC7"/>
    <w:rsid w:val="005226B6"/>
    <w:rsid w:val="00525029"/>
    <w:rsid w:val="006142E7"/>
    <w:rsid w:val="00633781"/>
    <w:rsid w:val="00663963"/>
    <w:rsid w:val="006958A3"/>
    <w:rsid w:val="007A03E4"/>
    <w:rsid w:val="00816F4C"/>
    <w:rsid w:val="00856FBA"/>
    <w:rsid w:val="008B7E15"/>
    <w:rsid w:val="008D4D22"/>
    <w:rsid w:val="00943F20"/>
    <w:rsid w:val="009B564E"/>
    <w:rsid w:val="009E485F"/>
    <w:rsid w:val="00A3524C"/>
    <w:rsid w:val="00A60840"/>
    <w:rsid w:val="00AE3D26"/>
    <w:rsid w:val="00AF3E8B"/>
    <w:rsid w:val="00B01908"/>
    <w:rsid w:val="00C31E61"/>
    <w:rsid w:val="00C53206"/>
    <w:rsid w:val="00CB455D"/>
    <w:rsid w:val="00CC0D1E"/>
    <w:rsid w:val="00D17943"/>
    <w:rsid w:val="00D30881"/>
    <w:rsid w:val="00D61E76"/>
    <w:rsid w:val="00DE4165"/>
    <w:rsid w:val="00E13F46"/>
    <w:rsid w:val="00E6422F"/>
    <w:rsid w:val="00E74880"/>
    <w:rsid w:val="00F51A6A"/>
    <w:rsid w:val="00F83D02"/>
    <w:rsid w:val="00FF1B1E"/>
    <w:rsid w:val="02F14418"/>
    <w:rsid w:val="044660B7"/>
    <w:rsid w:val="05C56ED2"/>
    <w:rsid w:val="062A142B"/>
    <w:rsid w:val="0A566A7A"/>
    <w:rsid w:val="0CA43CE5"/>
    <w:rsid w:val="0DD56120"/>
    <w:rsid w:val="116972AB"/>
    <w:rsid w:val="12A571DA"/>
    <w:rsid w:val="12C5231B"/>
    <w:rsid w:val="14F8426C"/>
    <w:rsid w:val="15F97EB4"/>
    <w:rsid w:val="175749B1"/>
    <w:rsid w:val="175E7186"/>
    <w:rsid w:val="196701EB"/>
    <w:rsid w:val="20C42C61"/>
    <w:rsid w:val="22430EB9"/>
    <w:rsid w:val="23133E9A"/>
    <w:rsid w:val="25EB1CDF"/>
    <w:rsid w:val="29D2537E"/>
    <w:rsid w:val="2B513DF8"/>
    <w:rsid w:val="2BA42C57"/>
    <w:rsid w:val="2BEB08A6"/>
    <w:rsid w:val="2CD65F87"/>
    <w:rsid w:val="2E1819E5"/>
    <w:rsid w:val="2E33681F"/>
    <w:rsid w:val="2E4E7843"/>
    <w:rsid w:val="2F6E3407"/>
    <w:rsid w:val="2FA07D76"/>
    <w:rsid w:val="32BF1B67"/>
    <w:rsid w:val="34BB131C"/>
    <w:rsid w:val="3748158D"/>
    <w:rsid w:val="38AF7358"/>
    <w:rsid w:val="396F07AE"/>
    <w:rsid w:val="3A0E1C38"/>
    <w:rsid w:val="3A1E0635"/>
    <w:rsid w:val="3C3A521C"/>
    <w:rsid w:val="3DB039E8"/>
    <w:rsid w:val="3F2A5338"/>
    <w:rsid w:val="3FA23A5E"/>
    <w:rsid w:val="406E1635"/>
    <w:rsid w:val="41F30347"/>
    <w:rsid w:val="42394181"/>
    <w:rsid w:val="4335673E"/>
    <w:rsid w:val="43A713E9"/>
    <w:rsid w:val="48126760"/>
    <w:rsid w:val="4DE635AE"/>
    <w:rsid w:val="52C658FD"/>
    <w:rsid w:val="553673AF"/>
    <w:rsid w:val="56620BBB"/>
    <w:rsid w:val="59A43A02"/>
    <w:rsid w:val="5B463982"/>
    <w:rsid w:val="5BE431A9"/>
    <w:rsid w:val="5C2707CB"/>
    <w:rsid w:val="5E11579F"/>
    <w:rsid w:val="5FBB7F0C"/>
    <w:rsid w:val="5FE264CB"/>
    <w:rsid w:val="6018724B"/>
    <w:rsid w:val="623F3964"/>
    <w:rsid w:val="63D420C6"/>
    <w:rsid w:val="64EC0EFA"/>
    <w:rsid w:val="67CB66FE"/>
    <w:rsid w:val="68247977"/>
    <w:rsid w:val="6A2D3DEB"/>
    <w:rsid w:val="6B317667"/>
    <w:rsid w:val="6DBA54DD"/>
    <w:rsid w:val="6E172DEB"/>
    <w:rsid w:val="6FBD26AC"/>
    <w:rsid w:val="724C30A1"/>
    <w:rsid w:val="73AC1AFB"/>
    <w:rsid w:val="75186AD2"/>
    <w:rsid w:val="773504DF"/>
    <w:rsid w:val="777358FE"/>
    <w:rsid w:val="7AD5165E"/>
    <w:rsid w:val="7D747F16"/>
    <w:rsid w:val="7E577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ascii="Times" w:hAnsi="Times" w:eastAsia="黑体"/>
      <w:b/>
      <w:caps/>
      <w:kern w:val="28"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 w:cs="Times"/>
      <w:szCs w:val="21"/>
    </w:rPr>
  </w:style>
  <w:style w:type="paragraph" w:styleId="5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4">
    <w:name w:val="Body text|1"/>
    <w:basedOn w:val="1"/>
    <w:qFormat/>
    <w:uiPriority w:val="0"/>
    <w:pPr>
      <w:spacing w:after="140" w:line="293" w:lineRule="auto"/>
      <w:ind w:firstLine="400"/>
    </w:pPr>
    <w:rPr>
      <w:rFonts w:ascii="宋体" w:hAnsi="宋体" w:eastAsia="宋体" w:cs="宋体"/>
      <w:lang w:val="zh-TW" w:eastAsia="zh-TW" w:bidi="zh-TW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Char"/>
    <w:basedOn w:val="11"/>
    <w:link w:val="7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7">
    <w:name w:val="批注文字 Char"/>
    <w:basedOn w:val="11"/>
    <w:link w:val="3"/>
    <w:semiHidden/>
    <w:qFormat/>
    <w:uiPriority w:val="0"/>
    <w:rPr>
      <w:rFonts w:ascii="等线" w:hAnsi="等线" w:eastAsia="等线" w:cs="Times New Roman"/>
      <w:kern w:val="2"/>
      <w:sz w:val="21"/>
      <w:szCs w:val="22"/>
    </w:rPr>
  </w:style>
  <w:style w:type="character" w:customStyle="1" w:styleId="18">
    <w:name w:val="批注主题 Char"/>
    <w:basedOn w:val="17"/>
    <w:link w:val="8"/>
    <w:semiHidden/>
    <w:qFormat/>
    <w:uiPriority w:val="0"/>
    <w:rPr>
      <w:rFonts w:ascii="等线" w:hAnsi="等线" w:eastAsia="等线" w:cs="Times New Roman"/>
      <w:b/>
      <w:bCs/>
      <w:kern w:val="2"/>
      <w:sz w:val="21"/>
      <w:szCs w:val="22"/>
    </w:rPr>
  </w:style>
  <w:style w:type="character" w:customStyle="1" w:styleId="19">
    <w:name w:val="批注框文本 Char"/>
    <w:basedOn w:val="11"/>
    <w:link w:val="5"/>
    <w:semiHidden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3876-19CF-4E21-8274-24746D945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1362</Words>
  <Characters>1366</Characters>
  <Lines>13</Lines>
  <Paragraphs>3</Paragraphs>
  <TotalTime>9</TotalTime>
  <ScaleCrop>false</ScaleCrop>
  <LinksUpToDate>false</LinksUpToDate>
  <CharactersWithSpaces>1463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2022-03-02T02:44:00Z</dcterms:created>
  <dc:creator>WPS_1613871935</dc:creator>
  <cp:lastModifiedBy>马婉贞</cp:lastModifiedBy>
  <cp:lastPrinted>2024-08-20T02:28:00Z</cp:lastPrinted>
  <dcterms:modified xsi:type="dcterms:W3CDTF">2025-07-14T02:38:51Z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23D0DFAB07E440EEBBF5914F7D8F48ED_13</vt:lpwstr>
  </property>
</Properties>
</file>